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Professional services — time entries and costs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Billing period: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Firm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Firm name / attorney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 / bar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Client and matter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Matter name or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For professional services rendered (period)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Timekeeper(s)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250"/>
        <w:gridCol w:w="4750"/>
        <w:gridCol w:w="1000"/>
        <w:gridCol w:w="1450"/>
        <w:gridCol w:w="1870"/>
      </w:tblGrid>
      <w:tr>
        <w:trPr>
          <w:tblHeader/>
        </w:trP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Date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work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Hours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10320"/>
            <w:gridSpan w:val="5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Time entries — one line per task, time in tenths of an hour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5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40" w:before="100"/>
            </w:pPr>
            <w:r>
              <w:rPr>
                <w:b/>
                <w:bCs/>
                <w:caps/>
                <w:color w:val="555555"/>
                <w:sz w:val="15"/>
                <w:szCs w:val="15"/>
              </w:rPr>
              <w:t xml:space="preserve">Costs — actual out-of-pocket, each named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Fees 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Costs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fees and costs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 AND REMIT INSTRUCTIONS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Prepared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2026-08-01T16:57:07.939Z</dcterms:created>
  <dcterms:modified xsi:type="dcterms:W3CDTF">2026-08-01T16:57:07.939Z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