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COMMERCIAL 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Customs document — declared value, no tax line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Customs document for an actual shipment. There is deliberately no tax line — duties are assessed by customs from the declared value below.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Exporter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Legal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Full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Importer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Legal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Full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Reason for export (sale, sample, repair and return, gift)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Country of origin — where manufactured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Incoterm (as in the sales agreement)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Currency — one for every line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1350"/>
        <w:gridCol w:w="900"/>
        <w:gridCol w:w="185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goods — specific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HS code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 value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Line total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declared value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40" w:line="320"/>
      </w:pPr>
      <w:r>
        <w:rPr>
          <w:i/>
          <w:iCs/>
          <w:color w:val="555555"/>
          <w:sz w:val="18"/>
          <w:szCs w:val="18"/>
        </w:rPr>
        <w:t xml:space="preserve">I declare that the information on this invoice is true and correct, and that the contents of this shipment are as stated above.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 of exporter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Name and position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2026-08-01T16:57:08.078Z</dcterms:created>
  <dcterms:modified xsi:type="dcterms:W3CDTF">2026-08-01T16:57:08.078Z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