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DELIVERY ORDER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Instruction to release goods — quantities, not values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Delivery order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issued: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p>
      <w:pPr>
        <w:spacing w:after="100" w:before="40" w:line="320"/>
      </w:pPr>
      <w:r>
        <w:rPr>
          <w:i/>
          <w:iCs/>
          <w:color w:val="555555"/>
          <w:sz w:val="18"/>
          <w:szCs w:val="18"/>
        </w:rPr>
        <w:t xml:space="preserve">An instruction to release goods. This document authorises a movement that has not happened yet — it carries no prices and no values.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Issued by (consignee or owner of the goods)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Instructed party (carrier or warehouse)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Company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Release to (collecting party)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ID to be presented on collection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Pickup location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Pickup time window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50"/>
        <w:gridCol w:w="1850"/>
        <w:gridCol w:w="3320"/>
      </w:tblGrid>
      <w:tr>
        <w:trPr>
          <w:tblHeader/>
        </w:trP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of goods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Marks — lot, container or carton reference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51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SPECIAL INSTRUCTIONS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Authorised by (issuer) — 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Name and position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after="1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(collecting party) — 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Print name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 and time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2026-08-01T16:57:08.017Z</dcterms:created>
  <dcterms:modified xsi:type="dcterms:W3CDTF">2026-08-01T16:57:08.017Z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