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Roadside call — no storage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Tow ticket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p>
      <w:pPr>
        <w:spacing w:after="100" w:before="40" w:line="320"/>
      </w:pPr>
      <w:r>
        <w:rPr>
          <w:i/>
          <w:iCs/>
          <w:color w:val="555555"/>
          <w:sz w:val="18"/>
          <w:szCs w:val="18"/>
        </w:rPr>
        <w:t xml:space="preserve">Roadside call — jump-start, lockout, winch-out or tire change. No storage section; this vehicle was not held.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Yard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motor carrier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 (name one party)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Vehicle owner, insurer or motor club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Vehicle — year, make, model, color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Plate no. / state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Service location (as recorded on ticket)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and time of call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1000"/>
        <w:gridCol w:w="1650"/>
        <w:gridCol w:w="2270"/>
      </w:tblGrid>
      <w:tr>
        <w:trPr>
          <w:tblHeader/>
        </w:trP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— service call, mileage if any, labor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METHODS ACCEPTED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2026-08-01T16:57:07.698Z</dcterms:created>
  <dcterms:modified xsi:type="dcterms:W3CDTF">2026-08-01T16:57:07.698Z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